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B00C" w14:textId="29F28848" w:rsidR="0056732C" w:rsidRDefault="00495C01" w:rsidP="00495C01">
      <w:pPr>
        <w:pStyle w:val="Sansinterlign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 CAHIER DE COMPTABILITE</w:t>
      </w:r>
    </w:p>
    <w:p w14:paraId="5862F272" w14:textId="05146304" w:rsidR="00495C01" w:rsidRDefault="00495C01" w:rsidP="00495C01">
      <w:pPr>
        <w:pStyle w:val="Sansinterligne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Guide d’utilisation</w:t>
      </w:r>
    </w:p>
    <w:p w14:paraId="7A27401B" w14:textId="4ED339BA" w:rsidR="00495C01" w:rsidRDefault="00495C01" w:rsidP="00495C01">
      <w:pPr>
        <w:pStyle w:val="Sansinterligne"/>
        <w:jc w:val="center"/>
        <w:rPr>
          <w:b/>
          <w:bCs/>
          <w:sz w:val="36"/>
          <w:szCs w:val="36"/>
        </w:rPr>
      </w:pPr>
    </w:p>
    <w:p w14:paraId="185A8065" w14:textId="7590F6B6" w:rsidR="00495C01" w:rsidRDefault="00495C01" w:rsidP="00495C0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 cahier de comptabilité, réalisé sous Excel, a été conçu pour des structures de petites ou moyennes tailles. Il vous permettra de tenir une comptabilité </w:t>
      </w:r>
      <w:r w:rsidR="00E00DA7">
        <w:rPr>
          <w:sz w:val="24"/>
          <w:szCs w:val="24"/>
        </w:rPr>
        <w:t xml:space="preserve">en partie double </w:t>
      </w:r>
      <w:r>
        <w:rPr>
          <w:sz w:val="24"/>
          <w:szCs w:val="24"/>
        </w:rPr>
        <w:t>répondant aux normes comptables en vigueur et de vérifier la cohérence de celle-ci, de suivre régulièrement la gestion de la structure, de suivre la trésorerie et de produire les documents de fin d’exercice (compte de résultat et bilan).</w:t>
      </w:r>
    </w:p>
    <w:p w14:paraId="009AC1E8" w14:textId="763435C3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BFF79BE" w14:textId="78BCAD6B" w:rsidR="003C5924" w:rsidRDefault="003C5924" w:rsidP="00495C0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offre la possibilité soit de tenir une simple comptabilité de trésorerie </w:t>
      </w:r>
      <w:r w:rsidR="009946A5">
        <w:rPr>
          <w:sz w:val="24"/>
          <w:szCs w:val="24"/>
        </w:rPr>
        <w:t>ou</w:t>
      </w:r>
      <w:r>
        <w:rPr>
          <w:sz w:val="24"/>
          <w:szCs w:val="24"/>
        </w:rPr>
        <w:t xml:space="preserve"> une comptabilité par engagement.</w:t>
      </w:r>
    </w:p>
    <w:p w14:paraId="7CABE20A" w14:textId="38E6AB3F" w:rsidR="003C5924" w:rsidRDefault="003C5924" w:rsidP="00495C01">
      <w:pPr>
        <w:pStyle w:val="Sansinterligne"/>
        <w:jc w:val="both"/>
        <w:rPr>
          <w:sz w:val="24"/>
          <w:szCs w:val="24"/>
        </w:rPr>
      </w:pPr>
    </w:p>
    <w:p w14:paraId="251DF6CE" w14:textId="7CAB0BAF" w:rsidR="003C5924" w:rsidRDefault="003C5924" w:rsidP="00495C0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Pour tout besoin de précision</w:t>
      </w:r>
      <w:r w:rsidR="006E79B3">
        <w:rPr>
          <w:sz w:val="24"/>
          <w:szCs w:val="24"/>
        </w:rPr>
        <w:t>s</w:t>
      </w:r>
      <w:r>
        <w:rPr>
          <w:sz w:val="24"/>
          <w:szCs w:val="24"/>
        </w:rPr>
        <w:t xml:space="preserve"> quant aux sujet abordés ou démarches à effectuer, il convient de se référer au guide « Gérer son association ».</w:t>
      </w:r>
    </w:p>
    <w:p w14:paraId="044468E8" w14:textId="4E3A13FF" w:rsidR="003C5924" w:rsidRDefault="003C5924" w:rsidP="00495C01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916745" w14:textId="610CEDFF" w:rsidR="00495C01" w:rsidRPr="003C5924" w:rsidRDefault="00495C01" w:rsidP="00495C01">
      <w:pPr>
        <w:pStyle w:val="Sansinterligne"/>
        <w:jc w:val="both"/>
        <w:rPr>
          <w:b/>
          <w:bCs/>
          <w:sz w:val="24"/>
          <w:szCs w:val="24"/>
        </w:rPr>
      </w:pPr>
      <w:r w:rsidRPr="003C5924">
        <w:rPr>
          <w:b/>
          <w:bCs/>
          <w:sz w:val="24"/>
          <w:szCs w:val="24"/>
        </w:rPr>
        <w:t>Le présent guide d’utilisation a pour but de vous aider dans la tenue de votre comptabilité et vous propose la démarche qui suit :</w:t>
      </w:r>
    </w:p>
    <w:p w14:paraId="4813297A" w14:textId="222AFEFF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027F510" w14:textId="778F21C5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Personnaliser le cahier de comptabilité :</w:t>
      </w:r>
    </w:p>
    <w:p w14:paraId="490F883D" w14:textId="73EA67CB" w:rsidR="001A5669" w:rsidRDefault="001A5669" w:rsidP="001A5669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029CDC92" w14:textId="3AA903D9" w:rsidR="001A5669" w:rsidRDefault="001A5669" w:rsidP="001A5669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Commencer par vous rendre sur l’onglet consacré aux charges. </w:t>
      </w:r>
    </w:p>
    <w:p w14:paraId="01056C89" w14:textId="35B82A5E" w:rsidR="001A5669" w:rsidRDefault="001A5669" w:rsidP="001A5669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Compléter le nom de la structure et indiquer l’année de l’exercice.</w:t>
      </w:r>
    </w:p>
    <w:p w14:paraId="753E2911" w14:textId="58DC3758" w:rsidR="001A5669" w:rsidRDefault="001A5669" w:rsidP="001A5669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Préciser le nom de la ou des banques à la place de « Banque 1 », …</w:t>
      </w:r>
    </w:p>
    <w:p w14:paraId="1344184B" w14:textId="3664A93F" w:rsidR="001A5669" w:rsidRDefault="001A5669" w:rsidP="001A5669">
      <w:pPr>
        <w:pStyle w:val="Sansinterligne"/>
        <w:ind w:left="360"/>
        <w:jc w:val="both"/>
        <w:rPr>
          <w:sz w:val="24"/>
          <w:szCs w:val="24"/>
        </w:rPr>
      </w:pPr>
    </w:p>
    <w:p w14:paraId="4EBDB1F9" w14:textId="50343E66" w:rsidR="001A5669" w:rsidRDefault="001A5669" w:rsidP="001A5669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Ces informations s’inscriront automatiquement sur les autres onglets qui reprennent les titres concernés et que vous avez renseignés.</w:t>
      </w:r>
    </w:p>
    <w:p w14:paraId="7F4A9EB3" w14:textId="0C467D27" w:rsidR="00D62C11" w:rsidRDefault="00D62C11" w:rsidP="001A5669">
      <w:pPr>
        <w:pStyle w:val="Sansinterligne"/>
        <w:ind w:left="360"/>
        <w:jc w:val="both"/>
        <w:rPr>
          <w:sz w:val="24"/>
          <w:szCs w:val="24"/>
        </w:rPr>
      </w:pPr>
    </w:p>
    <w:p w14:paraId="073BE85C" w14:textId="6CA4FFBD" w:rsidR="00D62C11" w:rsidRPr="00D62C11" w:rsidRDefault="00D62C11" w:rsidP="00D62C11">
      <w:pPr>
        <w:pStyle w:val="Sansinterligne"/>
        <w:ind w:left="360"/>
        <w:jc w:val="center"/>
        <w:rPr>
          <w:b/>
          <w:bCs/>
          <w:color w:val="FF0000"/>
          <w:sz w:val="24"/>
          <w:szCs w:val="24"/>
        </w:rPr>
      </w:pPr>
      <w:r w:rsidRPr="00D62C11">
        <w:rPr>
          <w:b/>
          <w:bCs/>
          <w:color w:val="FF0000"/>
          <w:sz w:val="24"/>
          <w:szCs w:val="24"/>
        </w:rPr>
        <w:t xml:space="preserve">Sauvegarder </w:t>
      </w:r>
      <w:r>
        <w:rPr>
          <w:b/>
          <w:bCs/>
          <w:color w:val="FF0000"/>
          <w:sz w:val="24"/>
          <w:szCs w:val="24"/>
        </w:rPr>
        <w:t>le cahier de comptabilité sous un nouveau nom, par exemple « Comptabilité 2024 » et conserver l’original pour de futures utilisations.</w:t>
      </w:r>
    </w:p>
    <w:p w14:paraId="5C3904A0" w14:textId="77777777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24B019C" w14:textId="690B89F3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Réaliser les écritures de début d’exercice :</w:t>
      </w:r>
    </w:p>
    <w:p w14:paraId="7AB813E7" w14:textId="02E082F4" w:rsidR="003C5924" w:rsidRDefault="003C5924" w:rsidP="003C5924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7A0C6BD5" w14:textId="227C0B39" w:rsidR="003C5924" w:rsidRDefault="003C5924" w:rsidP="003C5924">
      <w:pPr>
        <w:pStyle w:val="Sansinterligne"/>
        <w:ind w:left="360"/>
        <w:jc w:val="both"/>
        <w:rPr>
          <w:sz w:val="24"/>
          <w:szCs w:val="24"/>
        </w:rPr>
      </w:pPr>
      <w:r w:rsidRPr="00E00DA7">
        <w:rPr>
          <w:b/>
          <w:bCs/>
          <w:sz w:val="24"/>
          <w:szCs w:val="24"/>
        </w:rPr>
        <w:t>Saisir le bilan d’ouverture</w:t>
      </w:r>
      <w:r>
        <w:rPr>
          <w:sz w:val="24"/>
          <w:szCs w:val="24"/>
        </w:rPr>
        <w:t xml:space="preserve"> en vous rendant sur l’onglet « Bilan début ». Compléter la date en y ajoutant le millésime.</w:t>
      </w:r>
    </w:p>
    <w:p w14:paraId="0BC744FB" w14:textId="76ADF84B" w:rsidR="003C5924" w:rsidRDefault="003C5924" w:rsidP="003C5924">
      <w:pPr>
        <w:pStyle w:val="Sansinterligne"/>
        <w:ind w:left="360"/>
        <w:jc w:val="both"/>
        <w:rPr>
          <w:sz w:val="24"/>
          <w:szCs w:val="24"/>
        </w:rPr>
      </w:pPr>
    </w:p>
    <w:p w14:paraId="0B1B4E69" w14:textId="38F646C7" w:rsidR="003C5924" w:rsidRDefault="003C5924" w:rsidP="003C5924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S’il s’agit du tout premier bilan, celui-ci sera en général relativement simple et intégrera les apports initiaux permettant de commencer à faire fonctionner son association.</w:t>
      </w:r>
      <w:r w:rsidR="00E00DA7">
        <w:rPr>
          <w:sz w:val="24"/>
          <w:szCs w:val="24"/>
        </w:rPr>
        <w:t xml:space="preserve"> Attention, cet outil ne gère que le matériel d’activités amortissable. Si l’association gère un patrimoine plus important, il convient d’utiliser un logiciel comptable.</w:t>
      </w:r>
    </w:p>
    <w:p w14:paraId="49451E3D" w14:textId="7BA5DF0D" w:rsidR="003C5924" w:rsidRDefault="003C5924" w:rsidP="003C5924">
      <w:pPr>
        <w:pStyle w:val="Sansinterligne"/>
        <w:ind w:left="360"/>
        <w:jc w:val="both"/>
        <w:rPr>
          <w:sz w:val="24"/>
          <w:szCs w:val="24"/>
        </w:rPr>
      </w:pPr>
    </w:p>
    <w:p w14:paraId="256AEE36" w14:textId="24C4438E" w:rsidR="003C5924" w:rsidRDefault="003C5924" w:rsidP="003C5924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Pour les exercices qui suivront, le bilan d’ouverture reprendra le bilan de clôture de l’exercice précédent en effectuant les affectations du résultat de l’exercice précédent selon les dispositions arrêt</w:t>
      </w:r>
      <w:r w:rsidR="00E00DA7">
        <w:rPr>
          <w:sz w:val="24"/>
          <w:szCs w:val="24"/>
        </w:rPr>
        <w:t>é</w:t>
      </w:r>
      <w:r>
        <w:rPr>
          <w:sz w:val="24"/>
          <w:szCs w:val="24"/>
        </w:rPr>
        <w:t>es par l’assemblée générale.</w:t>
      </w:r>
    </w:p>
    <w:p w14:paraId="18606EE9" w14:textId="468BAFB2" w:rsidR="00E00DA7" w:rsidRDefault="00E00DA7" w:rsidP="003C5924">
      <w:pPr>
        <w:pStyle w:val="Sansinterligne"/>
        <w:ind w:left="360"/>
        <w:jc w:val="both"/>
        <w:rPr>
          <w:sz w:val="24"/>
          <w:szCs w:val="24"/>
        </w:rPr>
      </w:pPr>
    </w:p>
    <w:p w14:paraId="77E00B57" w14:textId="001B4EA3" w:rsidR="00E00DA7" w:rsidRDefault="00E00DA7" w:rsidP="003C5924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mise à jour du bilan d’ouverture renseignera automatiquement le futur bilan de clôture, la trésorerie et, en conséquence, les états de rapprochements</w:t>
      </w:r>
    </w:p>
    <w:p w14:paraId="102EFFC2" w14:textId="7616802D" w:rsidR="00E00DA7" w:rsidRDefault="00E00DA7" w:rsidP="003C5924">
      <w:pPr>
        <w:pStyle w:val="Sansinterligne"/>
        <w:ind w:left="360"/>
        <w:jc w:val="both"/>
        <w:rPr>
          <w:sz w:val="24"/>
          <w:szCs w:val="24"/>
        </w:rPr>
      </w:pPr>
    </w:p>
    <w:p w14:paraId="58404238" w14:textId="387CA8B3" w:rsidR="00E00DA7" w:rsidRDefault="00E00DA7" w:rsidP="003C5924">
      <w:pPr>
        <w:pStyle w:val="Sansinterligne"/>
        <w:ind w:left="360"/>
        <w:jc w:val="both"/>
        <w:rPr>
          <w:sz w:val="24"/>
          <w:szCs w:val="24"/>
        </w:rPr>
      </w:pPr>
      <w:r w:rsidRPr="00E00DA7">
        <w:rPr>
          <w:b/>
          <w:bCs/>
          <w:sz w:val="24"/>
          <w:szCs w:val="24"/>
        </w:rPr>
        <w:t>Régulariser les charges payées d’avance</w:t>
      </w:r>
      <w:r>
        <w:rPr>
          <w:sz w:val="24"/>
          <w:szCs w:val="24"/>
        </w:rPr>
        <w:t> : En vous rendant sur l’onglet « charges »</w:t>
      </w:r>
      <w:r w:rsidR="00E640A0">
        <w:rPr>
          <w:sz w:val="24"/>
          <w:szCs w:val="24"/>
        </w:rPr>
        <w:t>,</w:t>
      </w:r>
      <w:r>
        <w:rPr>
          <w:sz w:val="24"/>
          <w:szCs w:val="24"/>
        </w:rPr>
        <w:t xml:space="preserve"> utilise</w:t>
      </w:r>
      <w:r w:rsidR="00E640A0">
        <w:rPr>
          <w:sz w:val="24"/>
          <w:szCs w:val="24"/>
        </w:rPr>
        <w:t>z</w:t>
      </w:r>
      <w:r>
        <w:rPr>
          <w:sz w:val="24"/>
          <w:szCs w:val="24"/>
        </w:rPr>
        <w:t xml:space="preserve"> la colonne « Reprises charges payées d’avance » et fait</w:t>
      </w:r>
      <w:r w:rsidR="00E640A0">
        <w:rPr>
          <w:sz w:val="24"/>
          <w:szCs w:val="24"/>
        </w:rPr>
        <w:t>es</w:t>
      </w:r>
      <w:r>
        <w:rPr>
          <w:sz w:val="24"/>
          <w:szCs w:val="24"/>
        </w:rPr>
        <w:t xml:space="preserve"> la ventilation de ce montant dans la colo</w:t>
      </w:r>
      <w:r w:rsidR="00E640A0">
        <w:rPr>
          <w:sz w:val="24"/>
          <w:szCs w:val="24"/>
        </w:rPr>
        <w:t>nne adéquate des charges. Le bilan sera automatiquement mis à jour.</w:t>
      </w:r>
    </w:p>
    <w:p w14:paraId="6390511D" w14:textId="3284AB37" w:rsidR="00E640A0" w:rsidRDefault="00E640A0" w:rsidP="003C5924">
      <w:pPr>
        <w:pStyle w:val="Sansinterligne"/>
        <w:ind w:left="360"/>
        <w:jc w:val="both"/>
        <w:rPr>
          <w:sz w:val="24"/>
          <w:szCs w:val="24"/>
        </w:rPr>
      </w:pPr>
    </w:p>
    <w:p w14:paraId="27E15B34" w14:textId="6DEBF6E7" w:rsidR="00E640A0" w:rsidRDefault="00E640A0" w:rsidP="00E640A0">
      <w:pPr>
        <w:pStyle w:val="Sansinterligne"/>
        <w:ind w:left="360"/>
        <w:jc w:val="both"/>
        <w:rPr>
          <w:sz w:val="24"/>
          <w:szCs w:val="24"/>
        </w:rPr>
      </w:pPr>
      <w:r w:rsidRPr="00E640A0">
        <w:rPr>
          <w:b/>
          <w:bCs/>
          <w:sz w:val="24"/>
          <w:szCs w:val="24"/>
        </w:rPr>
        <w:t>Régulariser les produits perçus d’avance</w:t>
      </w:r>
      <w:r>
        <w:rPr>
          <w:sz w:val="24"/>
          <w:szCs w:val="24"/>
        </w:rPr>
        <w:t> : : En vous rendant sur l’onglet « produits » utilisez la colonne « Reprises produits d’avance » et faites la ventilation de ce montant dans la colonne adéquate des produits. Le bilan sera automatiquement mis à jour.</w:t>
      </w:r>
    </w:p>
    <w:p w14:paraId="106BDB74" w14:textId="14CEBB66" w:rsid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</w:p>
    <w:p w14:paraId="59F7EBC1" w14:textId="7FA383D7" w:rsid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  <w:r w:rsidRPr="00821FA4">
        <w:rPr>
          <w:b/>
          <w:bCs/>
          <w:sz w:val="24"/>
          <w:szCs w:val="24"/>
        </w:rPr>
        <w:t>Saisir le budget de l’exercice</w:t>
      </w:r>
      <w:r>
        <w:rPr>
          <w:sz w:val="24"/>
          <w:szCs w:val="24"/>
        </w:rPr>
        <w:t> : Vous rendre sur l’onglet « compte de résultat</w:t>
      </w:r>
      <w:r w:rsidR="00740543">
        <w:rPr>
          <w:sz w:val="24"/>
          <w:szCs w:val="24"/>
        </w:rPr>
        <w:t> »</w:t>
      </w:r>
      <w:r>
        <w:rPr>
          <w:sz w:val="24"/>
          <w:szCs w:val="24"/>
        </w:rPr>
        <w:t xml:space="preserve"> et saisir le budget dans la colonne concernée.</w:t>
      </w:r>
    </w:p>
    <w:p w14:paraId="5F4A96FB" w14:textId="77777777" w:rsidR="00495C01" w:rsidRDefault="00495C01" w:rsidP="00E640A0">
      <w:pPr>
        <w:pStyle w:val="Sansinterligne"/>
        <w:jc w:val="both"/>
        <w:rPr>
          <w:sz w:val="24"/>
          <w:szCs w:val="24"/>
        </w:rPr>
      </w:pPr>
    </w:p>
    <w:p w14:paraId="3CFC9380" w14:textId="4A6F4E8D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Tenir sa comptabilité :</w:t>
      </w:r>
    </w:p>
    <w:p w14:paraId="2B25484C" w14:textId="5053539D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47F15AF2" w14:textId="77777777" w:rsidR="00811E4A" w:rsidRDefault="00811E4A" w:rsidP="00E640A0">
      <w:pPr>
        <w:pStyle w:val="Sansinterligne"/>
        <w:ind w:left="360"/>
        <w:jc w:val="both"/>
        <w:rPr>
          <w:sz w:val="24"/>
          <w:szCs w:val="24"/>
        </w:rPr>
      </w:pPr>
      <w:bookmarkStart w:id="0" w:name="_Hlk159750744"/>
      <w:r>
        <w:rPr>
          <w:sz w:val="24"/>
          <w:szCs w:val="24"/>
        </w:rPr>
        <w:t xml:space="preserve">Lors de ces saisies, le compte de résultat, les tableaux de trésorerie, les comptes des onglets bilan concernés seront automatiquement mis à jour. </w:t>
      </w:r>
    </w:p>
    <w:p w14:paraId="15A60ECB" w14:textId="77777777" w:rsidR="00811E4A" w:rsidRDefault="00811E4A" w:rsidP="00E640A0">
      <w:pPr>
        <w:pStyle w:val="Sansinterligne"/>
        <w:ind w:left="360"/>
        <w:jc w:val="both"/>
        <w:rPr>
          <w:sz w:val="24"/>
          <w:szCs w:val="24"/>
        </w:rPr>
      </w:pPr>
    </w:p>
    <w:p w14:paraId="27BB9D3B" w14:textId="113ABE5F" w:rsidR="00E640A0" w:rsidRPr="00E640A0" w:rsidRDefault="00E640A0" w:rsidP="00E640A0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tenir une comptabilité </w:t>
      </w:r>
      <w:bookmarkEnd w:id="0"/>
      <w:r>
        <w:rPr>
          <w:sz w:val="24"/>
          <w:szCs w:val="24"/>
        </w:rPr>
        <w:t>en partie double, q</w:t>
      </w:r>
      <w:r w:rsidRPr="00E640A0">
        <w:rPr>
          <w:sz w:val="24"/>
          <w:szCs w:val="24"/>
        </w:rPr>
        <w:t xml:space="preserve">uatre </w:t>
      </w:r>
      <w:r>
        <w:rPr>
          <w:sz w:val="24"/>
          <w:szCs w:val="24"/>
        </w:rPr>
        <w:t>onglets sont à votre disposition :</w:t>
      </w:r>
    </w:p>
    <w:p w14:paraId="7FE67E96" w14:textId="5F1088C6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185BED3F" w14:textId="2B821CE2" w:rsidR="00E640A0" w:rsidRPr="00811E4A" w:rsidRDefault="00E640A0" w:rsidP="00E640A0">
      <w:pPr>
        <w:pStyle w:val="Sansinterlign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Charges : </w:t>
      </w:r>
      <w:r>
        <w:rPr>
          <w:sz w:val="24"/>
          <w:szCs w:val="24"/>
        </w:rPr>
        <w:t>Utiliser le compte de trésorerie</w:t>
      </w:r>
      <w:r w:rsidR="00360441">
        <w:rPr>
          <w:sz w:val="24"/>
          <w:szCs w:val="24"/>
        </w:rPr>
        <w:t>, ou pour quelques cas seulement les comtes de bilan, et ventiler le montant dans le compte de charges correspondant. Un N° de pièce justificative, à reporter sur celle-ci, facilitera le classement de ces pièces. Dans la colonne « mode » figurant à côté des comptes bancaires, indiquer CH pour un chèque, VR pour un virement, PR pour un prélèvement.</w:t>
      </w:r>
    </w:p>
    <w:p w14:paraId="5EEA6F7F" w14:textId="77777777" w:rsidR="00811E4A" w:rsidRPr="00360441" w:rsidRDefault="00811E4A" w:rsidP="00811E4A">
      <w:pPr>
        <w:pStyle w:val="Sansinterligne"/>
        <w:ind w:left="720"/>
        <w:jc w:val="both"/>
        <w:rPr>
          <w:b/>
          <w:bCs/>
          <w:sz w:val="24"/>
          <w:szCs w:val="24"/>
        </w:rPr>
      </w:pPr>
    </w:p>
    <w:p w14:paraId="7B72D5E5" w14:textId="62C443BC" w:rsidR="00360441" w:rsidRPr="00811E4A" w:rsidRDefault="00360441" w:rsidP="00E640A0">
      <w:pPr>
        <w:pStyle w:val="Sansinterlign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Produits : </w:t>
      </w:r>
      <w:r>
        <w:rPr>
          <w:sz w:val="24"/>
          <w:szCs w:val="24"/>
        </w:rPr>
        <w:t>Même démarche mais en utilisant les comptes de produits. Dans la colonne « mode » indiquer CH pour un chèque, VR pour un virement.</w:t>
      </w:r>
    </w:p>
    <w:p w14:paraId="1E677304" w14:textId="77777777" w:rsidR="00811E4A" w:rsidRPr="00360441" w:rsidRDefault="00811E4A" w:rsidP="00811E4A">
      <w:pPr>
        <w:pStyle w:val="Sansinterligne"/>
        <w:jc w:val="both"/>
        <w:rPr>
          <w:b/>
          <w:bCs/>
          <w:sz w:val="24"/>
          <w:szCs w:val="24"/>
        </w:rPr>
      </w:pPr>
    </w:p>
    <w:p w14:paraId="4054C43F" w14:textId="792D4C6D" w:rsidR="00360441" w:rsidRPr="00811E4A" w:rsidRDefault="00360441" w:rsidP="00E640A0">
      <w:pPr>
        <w:pStyle w:val="Sansinterlign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Autres charges : </w:t>
      </w:r>
      <w:bookmarkStart w:id="1" w:name="_Hlk159750577"/>
      <w:r>
        <w:rPr>
          <w:sz w:val="24"/>
          <w:szCs w:val="24"/>
        </w:rPr>
        <w:t xml:space="preserve">Ces comptes seront utilisés pour comptabiliser </w:t>
      </w:r>
      <w:bookmarkEnd w:id="1"/>
      <w:r>
        <w:rPr>
          <w:sz w:val="24"/>
          <w:szCs w:val="24"/>
        </w:rPr>
        <w:t>l’achat de matériel d’activité amortissable, des virements internes entre comptes de trésorerie, les dotations de fin d’exercice, les charges payées d’avance et l’annulation des charges à payer de l’exercice précédent lors de leur règlement.</w:t>
      </w:r>
    </w:p>
    <w:p w14:paraId="59D9E07E" w14:textId="77777777" w:rsidR="00811E4A" w:rsidRPr="00360441" w:rsidRDefault="00811E4A" w:rsidP="00811E4A">
      <w:pPr>
        <w:pStyle w:val="Sansinterligne"/>
        <w:jc w:val="both"/>
        <w:rPr>
          <w:b/>
          <w:bCs/>
          <w:sz w:val="24"/>
          <w:szCs w:val="24"/>
        </w:rPr>
      </w:pPr>
    </w:p>
    <w:p w14:paraId="7F6C223D" w14:textId="59035842" w:rsidR="00360441" w:rsidRPr="00811E4A" w:rsidRDefault="00360441" w:rsidP="00E640A0">
      <w:pPr>
        <w:pStyle w:val="Sansinterligne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Autres produits : </w:t>
      </w:r>
      <w:r w:rsidR="00811E4A">
        <w:rPr>
          <w:sz w:val="24"/>
          <w:szCs w:val="24"/>
        </w:rPr>
        <w:t>Ces comptes seront utilisés pour comptabiliser les subventions d’équipement perçues, des virements internes entre comptes de trésorerie, les reprises sur dotations, les produits perçus d’avance et l’annulation des produits à recevoir lors de leur encaissement.</w:t>
      </w:r>
    </w:p>
    <w:p w14:paraId="7352A699" w14:textId="0C060A93" w:rsidR="00495C01" w:rsidRPr="00811E4A" w:rsidRDefault="00495C01" w:rsidP="00811E4A">
      <w:pPr>
        <w:rPr>
          <w:b/>
          <w:bCs/>
          <w:sz w:val="24"/>
          <w:szCs w:val="24"/>
        </w:rPr>
      </w:pPr>
    </w:p>
    <w:p w14:paraId="000C4930" w14:textId="48932CC3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Tenir une comptabilité analytique :</w:t>
      </w:r>
    </w:p>
    <w:p w14:paraId="512920D0" w14:textId="5C0BE231" w:rsidR="00E640A0" w:rsidRDefault="00821FA4" w:rsidP="00821FA4">
      <w:pPr>
        <w:pStyle w:val="Sansinterligne"/>
        <w:tabs>
          <w:tab w:val="left" w:pos="3720"/>
        </w:tabs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2E2F0A1" w14:textId="10F3D8A5" w:rsidR="00821FA4" w:rsidRDefault="00821FA4" w:rsidP="00D62C11">
      <w:pPr>
        <w:pStyle w:val="Sansinterligne"/>
        <w:ind w:left="360"/>
        <w:jc w:val="both"/>
        <w:rPr>
          <w:sz w:val="24"/>
          <w:szCs w:val="24"/>
        </w:rPr>
      </w:pPr>
      <w:r w:rsidRPr="00821FA4">
        <w:rPr>
          <w:sz w:val="24"/>
          <w:szCs w:val="24"/>
        </w:rPr>
        <w:t xml:space="preserve">Cet outil comptable </w:t>
      </w:r>
      <w:r>
        <w:rPr>
          <w:sz w:val="24"/>
          <w:szCs w:val="24"/>
        </w:rPr>
        <w:t>vous permet de tenir une comptabilité analytique comprenant 9 rubriques possibles (1000 à 9000). Les deux premières rubriques sont déjà renseignées : frais de fonctionnement et vie statutaire. A vous de titrer les autres en fonction de vos besoins.</w:t>
      </w:r>
    </w:p>
    <w:p w14:paraId="49666C30" w14:textId="2B025B23" w:rsid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Lorsque vous saisirez des charges ou des produits, il conviendra d’indiquer le n° de code analytique dans la colonne appropriée et le compte de résultat analytique concerné sera automatiquement renseigné.</w:t>
      </w:r>
    </w:p>
    <w:p w14:paraId="146F09A9" w14:textId="02D257DD" w:rsid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</w:p>
    <w:p w14:paraId="5A8166FD" w14:textId="0FFCBD04" w:rsidR="00821FA4" w:rsidRP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En début d’exercice, vous pouvez pour chaque section saisir le budget analytique.</w:t>
      </w:r>
    </w:p>
    <w:p w14:paraId="1699CCCD" w14:textId="77777777" w:rsidR="00495C01" w:rsidRP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EE2A10B" w14:textId="401B5331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Suivre sa trésorerie :</w:t>
      </w:r>
    </w:p>
    <w:p w14:paraId="73535065" w14:textId="5E402B79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5ED0B9AA" w14:textId="3D729873" w:rsidR="00E640A0" w:rsidRDefault="00821FA4" w:rsidP="00E640A0">
      <w:pPr>
        <w:pStyle w:val="Sansinterligne"/>
        <w:ind w:left="360"/>
        <w:jc w:val="both"/>
        <w:rPr>
          <w:sz w:val="24"/>
          <w:szCs w:val="24"/>
        </w:rPr>
      </w:pPr>
      <w:r w:rsidRPr="00821FA4">
        <w:rPr>
          <w:sz w:val="24"/>
          <w:szCs w:val="24"/>
        </w:rPr>
        <w:t>Des états de rapprochements bancaires</w:t>
      </w:r>
      <w:r>
        <w:rPr>
          <w:sz w:val="24"/>
          <w:szCs w:val="24"/>
        </w:rPr>
        <w:t xml:space="preserve"> et de caisses sont à votre disposition.</w:t>
      </w:r>
    </w:p>
    <w:p w14:paraId="704F4BAA" w14:textId="2D16BB6F" w:rsid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</w:p>
    <w:p w14:paraId="5C2162C5" w14:textId="4DE8B33E" w:rsidR="00821FA4" w:rsidRPr="00821FA4" w:rsidRDefault="00821FA4" w:rsidP="00E640A0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Si la situation en comptabilité est automatiquement générée, pour les rapprochements bancaires, en cas de comptabilité par engagement, ces tableaux sont à compléter et à vider après que les contrôles aient été faits.</w:t>
      </w:r>
    </w:p>
    <w:p w14:paraId="07E17373" w14:textId="77777777" w:rsidR="00495C01" w:rsidRP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1703C106" w14:textId="0E83C6E0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Réaliser les écritures de fin d’exercice :</w:t>
      </w:r>
    </w:p>
    <w:p w14:paraId="01455F46" w14:textId="5D64C151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7D5925CD" w14:textId="2C5A52F5" w:rsidR="00E640A0" w:rsidRDefault="00740543" w:rsidP="00E640A0">
      <w:pPr>
        <w:pStyle w:val="Sansinterligne"/>
        <w:ind w:left="360"/>
        <w:jc w:val="both"/>
        <w:rPr>
          <w:sz w:val="24"/>
          <w:szCs w:val="24"/>
        </w:rPr>
      </w:pPr>
      <w:r w:rsidRPr="00740543">
        <w:rPr>
          <w:sz w:val="24"/>
          <w:szCs w:val="24"/>
        </w:rPr>
        <w:t xml:space="preserve">En utilisant </w:t>
      </w:r>
      <w:r>
        <w:rPr>
          <w:sz w:val="24"/>
          <w:szCs w:val="24"/>
        </w:rPr>
        <w:t>l’onglet « autres charges » vous pourrez, à la clôture de l’exercice, comptabiliser les dotations aux amortissements, aux provisions et aux fonds dédiés.</w:t>
      </w:r>
    </w:p>
    <w:p w14:paraId="202D5035" w14:textId="056AB482" w:rsidR="00740543" w:rsidRDefault="00740543" w:rsidP="00E640A0">
      <w:pPr>
        <w:pStyle w:val="Sansinterligne"/>
        <w:ind w:left="360"/>
        <w:jc w:val="both"/>
        <w:rPr>
          <w:sz w:val="24"/>
          <w:szCs w:val="24"/>
        </w:rPr>
      </w:pPr>
    </w:p>
    <w:p w14:paraId="699B9BFE" w14:textId="384963B5" w:rsidR="00740543" w:rsidRPr="00740543" w:rsidRDefault="00740543" w:rsidP="00E640A0">
      <w:pPr>
        <w:pStyle w:val="Sansinterligne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En utilisant les onglets « charges » et « produits », vous saisirez les charges à payer et les produits à recevoir : colonne « BILAN » et ventilation dans le compte concerné.</w:t>
      </w:r>
    </w:p>
    <w:p w14:paraId="468B95E4" w14:textId="77777777" w:rsidR="00495C01" w:rsidRP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D0D6C62" w14:textId="269B3180" w:rsidR="00495C01" w:rsidRDefault="00495C01" w:rsidP="00E640A0">
      <w:pPr>
        <w:pStyle w:val="Sansinterlign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95C01">
        <w:rPr>
          <w:b/>
          <w:bCs/>
          <w:sz w:val="24"/>
          <w:szCs w:val="24"/>
        </w:rPr>
        <w:t>Produire les documents comptables de fin d’exercice :</w:t>
      </w:r>
    </w:p>
    <w:p w14:paraId="2AC6B32C" w14:textId="23D47740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28EFAB0B" w14:textId="66B717F4" w:rsidR="00E640A0" w:rsidRDefault="006E79B3" w:rsidP="00E640A0">
      <w:pPr>
        <w:pStyle w:val="Sansinterligne"/>
        <w:ind w:left="360"/>
        <w:jc w:val="both"/>
        <w:rPr>
          <w:sz w:val="24"/>
          <w:szCs w:val="24"/>
        </w:rPr>
      </w:pPr>
      <w:r w:rsidRPr="006E79B3">
        <w:rPr>
          <w:sz w:val="24"/>
          <w:szCs w:val="24"/>
        </w:rPr>
        <w:t xml:space="preserve">Les documents de fin d’exercice </w:t>
      </w:r>
      <w:r>
        <w:rPr>
          <w:sz w:val="24"/>
          <w:szCs w:val="24"/>
        </w:rPr>
        <w:t>« compte de résultat » et « comptes de résultat analytique, « bilan de clôture » (cf. colonne « bilan fin ») sont automatiquement générés.</w:t>
      </w:r>
    </w:p>
    <w:p w14:paraId="191EC9D4" w14:textId="77777777" w:rsidR="006E79B3" w:rsidRPr="006E79B3" w:rsidRDefault="006E79B3" w:rsidP="00E640A0">
      <w:pPr>
        <w:pStyle w:val="Sansinterligne"/>
        <w:ind w:left="360"/>
        <w:jc w:val="both"/>
        <w:rPr>
          <w:sz w:val="24"/>
          <w:szCs w:val="24"/>
        </w:rPr>
      </w:pPr>
    </w:p>
    <w:p w14:paraId="3C5EDB77" w14:textId="77777777" w:rsidR="00E640A0" w:rsidRDefault="00E640A0" w:rsidP="00E640A0">
      <w:pPr>
        <w:pStyle w:val="Sansinterligne"/>
        <w:ind w:left="360"/>
        <w:jc w:val="both"/>
        <w:rPr>
          <w:b/>
          <w:bCs/>
          <w:sz w:val="24"/>
          <w:szCs w:val="24"/>
        </w:rPr>
      </w:pPr>
    </w:p>
    <w:p w14:paraId="7DC803F3" w14:textId="7D4C7D35" w:rsidR="00E640A0" w:rsidRDefault="00E640A0" w:rsidP="00E640A0">
      <w:pPr>
        <w:pStyle w:val="Sansinterligne"/>
        <w:jc w:val="both"/>
        <w:rPr>
          <w:b/>
          <w:bCs/>
          <w:sz w:val="24"/>
          <w:szCs w:val="24"/>
        </w:rPr>
      </w:pPr>
    </w:p>
    <w:p w14:paraId="7A6C44E0" w14:textId="77777777" w:rsidR="00E640A0" w:rsidRPr="00495C01" w:rsidRDefault="00E640A0" w:rsidP="00E640A0">
      <w:pPr>
        <w:pStyle w:val="Sansinterligne"/>
        <w:jc w:val="both"/>
        <w:rPr>
          <w:b/>
          <w:bCs/>
          <w:sz w:val="24"/>
          <w:szCs w:val="24"/>
        </w:rPr>
      </w:pPr>
    </w:p>
    <w:p w14:paraId="4107DD07" w14:textId="77777777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6099E66" w14:textId="3A0E726A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574831A9" w14:textId="07A6027B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6B9D33F" w14:textId="21E9D1F5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22287514" w14:textId="05204847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2816E43" w14:textId="77777777" w:rsidR="00495C01" w:rsidRP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3C638A5B" w14:textId="51BFA9FC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0E91C16" w14:textId="49E75547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ABF641A" w14:textId="2B701516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5E5A617" w14:textId="56218391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5EC128E4" w14:textId="334A9D27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507BB157" w14:textId="344F3E15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5F0D7F8C" w14:textId="23E3087C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57C942BB" w14:textId="5F11D6EC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A6F1784" w14:textId="22E5FF7E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6C8744C3" w14:textId="1C65CB54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8360AF1" w14:textId="1C4E8696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B8DE377" w14:textId="5D5BFDD5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2D25B7A9" w14:textId="1B039BB9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7479CD10" w14:textId="7FBCDC3D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B5A1310" w14:textId="199A0CE1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45ECD2D4" w14:textId="2960E69C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057BAF1D" w14:textId="74F9A71A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288C79CC" w14:textId="30294992" w:rsidR="00495C01" w:rsidRDefault="00495C01" w:rsidP="00495C01">
      <w:pPr>
        <w:pStyle w:val="Sansinterligne"/>
        <w:jc w:val="both"/>
        <w:rPr>
          <w:sz w:val="24"/>
          <w:szCs w:val="24"/>
        </w:rPr>
      </w:pPr>
    </w:p>
    <w:p w14:paraId="3AF8444D" w14:textId="77777777" w:rsidR="00495C01" w:rsidRPr="00495C01" w:rsidRDefault="00495C01" w:rsidP="00495C01">
      <w:pPr>
        <w:pStyle w:val="Sansinterligne"/>
        <w:jc w:val="both"/>
        <w:rPr>
          <w:sz w:val="24"/>
          <w:szCs w:val="24"/>
        </w:rPr>
      </w:pPr>
    </w:p>
    <w:sectPr w:rsidR="00495C01" w:rsidRPr="00495C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9783" w14:textId="77777777" w:rsidR="00D12A03" w:rsidRDefault="00D12A03" w:rsidP="006E79B3">
      <w:pPr>
        <w:spacing w:after="0" w:line="240" w:lineRule="auto"/>
      </w:pPr>
      <w:r>
        <w:separator/>
      </w:r>
    </w:p>
  </w:endnote>
  <w:endnote w:type="continuationSeparator" w:id="0">
    <w:p w14:paraId="179F3FF1" w14:textId="77777777" w:rsidR="00D12A03" w:rsidRDefault="00D12A03" w:rsidP="006E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6F0FE" w14:textId="41D47707" w:rsidR="006E79B3" w:rsidRDefault="006E79B3" w:rsidP="006E79B3">
    <w:pPr>
      <w:pStyle w:val="Pieddepage"/>
      <w:tabs>
        <w:tab w:val="left" w:pos="4125"/>
      </w:tabs>
      <w:rPr>
        <w:caps/>
        <w:color w:val="4472C4" w:themeColor="accent1"/>
      </w:rPr>
    </w:pPr>
    <w:r>
      <w:rPr>
        <w:caps/>
        <w:color w:val="4472C4" w:themeColor="accent1"/>
      </w:rPr>
      <w:tab/>
    </w:r>
    <w:r w:rsidRPr="006E79B3">
      <w:rPr>
        <w:caps/>
      </w:rPr>
      <w:t xml:space="preserve">Guide d’Utilsation         </w:t>
    </w:r>
    <w:r w:rsidRPr="006E79B3">
      <w:rPr>
        <w:caps/>
      </w:rPr>
      <w:fldChar w:fldCharType="begin"/>
    </w:r>
    <w:r w:rsidRPr="006E79B3">
      <w:rPr>
        <w:caps/>
      </w:rPr>
      <w:instrText>PAGE   \* MERGEFORMAT</w:instrText>
    </w:r>
    <w:r w:rsidRPr="006E79B3">
      <w:rPr>
        <w:caps/>
      </w:rPr>
      <w:fldChar w:fldCharType="separate"/>
    </w:r>
    <w:r w:rsidRPr="006E79B3">
      <w:rPr>
        <w:caps/>
      </w:rPr>
      <w:t>2</w:t>
    </w:r>
    <w:r w:rsidRPr="006E79B3">
      <w:rPr>
        <w:caps/>
      </w:rPr>
      <w:fldChar w:fldCharType="end"/>
    </w:r>
  </w:p>
  <w:p w14:paraId="50AC1CEE" w14:textId="77777777" w:rsidR="006E79B3" w:rsidRDefault="006E79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8BB8C" w14:textId="77777777" w:rsidR="00D12A03" w:rsidRDefault="00D12A03" w:rsidP="006E79B3">
      <w:pPr>
        <w:spacing w:after="0" w:line="240" w:lineRule="auto"/>
      </w:pPr>
      <w:r>
        <w:separator/>
      </w:r>
    </w:p>
  </w:footnote>
  <w:footnote w:type="continuationSeparator" w:id="0">
    <w:p w14:paraId="75474E40" w14:textId="77777777" w:rsidR="00D12A03" w:rsidRDefault="00D12A03" w:rsidP="006E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5132D"/>
    <w:multiLevelType w:val="hybridMultilevel"/>
    <w:tmpl w:val="1534BEEE"/>
    <w:lvl w:ilvl="0" w:tplc="54D62A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4D6"/>
    <w:multiLevelType w:val="hybridMultilevel"/>
    <w:tmpl w:val="98EC0F92"/>
    <w:lvl w:ilvl="0" w:tplc="70DC3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01"/>
    <w:rsid w:val="001A5669"/>
    <w:rsid w:val="00360441"/>
    <w:rsid w:val="003C5924"/>
    <w:rsid w:val="00495C01"/>
    <w:rsid w:val="0056732C"/>
    <w:rsid w:val="006E79B3"/>
    <w:rsid w:val="00740543"/>
    <w:rsid w:val="007B378B"/>
    <w:rsid w:val="00811E4A"/>
    <w:rsid w:val="00821FA4"/>
    <w:rsid w:val="009946A5"/>
    <w:rsid w:val="009B1029"/>
    <w:rsid w:val="00D12A03"/>
    <w:rsid w:val="00D62C11"/>
    <w:rsid w:val="00E00DA7"/>
    <w:rsid w:val="00E6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4CF"/>
  <w15:chartTrackingRefBased/>
  <w15:docId w15:val="{DC7E04D6-89F2-4DF6-9354-4042EF5D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95C0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495C0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9B3"/>
  </w:style>
  <w:style w:type="paragraph" w:styleId="Pieddepage">
    <w:name w:val="footer"/>
    <w:basedOn w:val="Normal"/>
    <w:link w:val="PieddepageCar"/>
    <w:uiPriority w:val="99"/>
    <w:unhideWhenUsed/>
    <w:rsid w:val="006E7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2024-02-22T12:23:00Z</dcterms:created>
  <dcterms:modified xsi:type="dcterms:W3CDTF">2024-02-26T08:03:00Z</dcterms:modified>
</cp:coreProperties>
</file>